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C7" w:rsidRDefault="00DA37C7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7C7" w:rsidRPr="00597F18" w:rsidRDefault="00DA37C7" w:rsidP="00DA37C7">
      <w:pPr>
        <w:rPr>
          <w:rFonts w:ascii="Times New Roman" w:hAnsi="Times New Roman" w:cs="Times New Roman"/>
          <w:sz w:val="28"/>
          <w:szCs w:val="28"/>
        </w:rPr>
      </w:pPr>
    </w:p>
    <w:p w:rsidR="00597F18" w:rsidRDefault="00597F18" w:rsidP="005A3106">
      <w:pPr>
        <w:pStyle w:val="a3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2.3. Программа наставничества 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2.4. 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2.5. Наставник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>2.6. Куратор –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2.7. Целевая модель наставничества – система условий, ресурсов и процессов, необходимых для реализации программ наставничества в школе.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2.8. Благодарный выпускник –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A3106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5A3106">
        <w:rPr>
          <w:rFonts w:ascii="Times New Roman" w:hAnsi="Times New Roman" w:cs="Times New Roman"/>
          <w:sz w:val="28"/>
          <w:szCs w:val="28"/>
        </w:rPr>
        <w:t xml:space="preserve">, организует стажировки и т. д.).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З. Цели и задачи наставничества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3.1.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– педагоги) разных уровней образования.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3.2. Основными задачами наставничества являются: – 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 – осуществление персонифицированного учета обучающихся, молодых </w:t>
      </w:r>
      <w:r w:rsidRPr="005A310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и педагогов, участвующих в программах наставничества;  проведение внутреннего мониторинга реализации и эффективности программ наставничества; – формирования баз данных программ наставничества и лучших практик; –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>4. Организационные основы наставничества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4.1. Наставничество организуется на основании приказа. Руководство деятельностью наставничества осуществляет куратор, заместитель директора по учебно-воспитательной работе.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4.2. 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4.3. 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 4.4. Наставляемыми могут быть обучающиеся: – проявившие выдающиеся способности; – демонстрирующие неудовлетворительные образовательные результаты; – с ограниченными возможностями здоровья; – попавшие в трудную жизненную ситуацию; – имеющие проблемы с поведением; – не принимающие участие в жизни школы, отстраненные от коллектива.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4.5. Наставляемыми могут быть педагоги: – молодые специалисты; – находящиеся в состоянии эмоционального выгорания, хронической усталости; – находящиеся в процессе адаптации на новом месте работы; – желающие овладеть современными программами, цифровыми навыками, ИКТ-компетенциями и т. д.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4.6. Наставниками могут быть: – обучающиеся, мотивированные помочь сверстникам в образовательных, спортивных, творческих и адаптационных вопросах; – педагоги и специалисты, заинтересованные в тиражировании личного педагогического опыта и создании продуктивной педагогической атмосферы; – родители обучающихся – активные участники родительских советов; – выпускники, заинтересованные в поддержке своей школы; – сотрудники предприятий, заинтересованные в подготовке будущих кадров; – успешные предприниматели или общественные деятели, которые чувствуют потребность передать свой опыт; – ветераны педагогического труда.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lastRenderedPageBreak/>
        <w:t xml:space="preserve">4.7.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4.8. Участие наставников и наставляемых в целевой модели наставничества основывается на добровольном согласии.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4.9.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4.10. Формирование наставнических пар, групп осуществляется после знакомства с планами работы по наставничеству.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4.11. Формирование наставнических пар, групп осуществляется на добровольной основе и утверждается приказом директора.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4.12. С наставниками, приглашенными из внешней среды, составляется договор о сотрудничестве на безвозмездной основе.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5. Реализация целевой модели наставничества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– ученик», «Ученик – ученик», «Учитель – учитель», «Работодатель – ученик», «Студент </w:t>
      </w:r>
      <w:proofErr w:type="gramStart"/>
      <w:r w:rsidRPr="005A3106">
        <w:rPr>
          <w:rFonts w:ascii="Times New Roman" w:hAnsi="Times New Roman" w:cs="Times New Roman"/>
          <w:sz w:val="28"/>
          <w:szCs w:val="28"/>
        </w:rPr>
        <w:t>–  ученик</w:t>
      </w:r>
      <w:proofErr w:type="gramEnd"/>
      <w:r w:rsidRPr="005A3106">
        <w:rPr>
          <w:rFonts w:ascii="Times New Roman" w:hAnsi="Times New Roman" w:cs="Times New Roman"/>
          <w:sz w:val="28"/>
          <w:szCs w:val="28"/>
        </w:rPr>
        <w:t xml:space="preserve">». Представление программ наставничества в форме «Учитель – ученик», «Ученик – ученик», «Учитель – учитель», «Работодатель – ученик», «Студент – ученик» на ученической конференции, педагогическом совете и родительском совете.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5.2. Этапы комплекса мероприятий по реализации взаимодействия «наставник – наставляемый».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встречи-планирования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5.3. 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встречи-планирования.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6. Мониторинг и оценка результатов реализации программы наставничества 6.1. Мониторинг процесса реализации программ наставничества понимается </w:t>
      </w:r>
      <w:r w:rsidRPr="005A3106">
        <w:rPr>
          <w:rFonts w:ascii="Times New Roman" w:hAnsi="Times New Roman" w:cs="Times New Roman"/>
          <w:sz w:val="28"/>
          <w:szCs w:val="28"/>
        </w:rPr>
        <w:lastRenderedPageBreak/>
        <w:t xml:space="preserve">как система сбора, обработки, хранения и использования информации о программе наставничества и/или отдельных ее элементах.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6.2. Мониторинг программы наставничества состоит из двух основных этапов: – оценка качества процесса реализации программы наставничества; – оценка мотивационно-личностного, </w:t>
      </w:r>
      <w:proofErr w:type="spellStart"/>
      <w:r w:rsidRPr="005A310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A3106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6.3. 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7. Обязанности наставника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7.1. Знать требования законодательства в сфере образования, ведомственных нормативных актов, определяющих права и обязанности.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7.2. 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7.3. 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7.4. 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7.5.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7.6. Подводить итоги наставнической программы с формированием отчета о проделанной работе с предложениями и выводами.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8. Права наставника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8.1. Вносить на рассмотрение администрации школы предложения по совершенствованию работы, связанной с наставничеством.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lastRenderedPageBreak/>
        <w:t>8.2. Защищать профессиональную честь и достоинство. Знакомиться с жалобами и другими документами, содержащими оценку его работы, давать по ним объяснения.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8.3. Проходить обучение с использованием федеральных программ.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>8.4. Получать психологическое сопровождение. Участвовать в школьных, городских, региональных и всероссийских конкурсах наставничества.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9. Обязанности наставляемого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9.1. 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9.2. Разработать совместно с наставляемым план наставничества. Выполнять этапы реализации плана наставничества.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10. Права наставляемого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10.1. 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10.2. Участвовать в школьных, городских, региональных и всероссийских конкурсах наставничества.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10.3. Защищать свои интересы самостоятельно и (или) через представителя. 11. Механизмы мотивации и поощрения наставников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11.1. Мероприятия по популяризации роли наставника: организация и проведение фестивалей, форумов, конференций наставников на школьном, городском уровне.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11.2. Выдвижение лучших наставников на конкурсы и мероприятия на муниципальном, региональном и федеральном уровнях.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>11.3. Проведение школьного конкурса профессионального мастерства «Наставник года», «Лучшая пара», «Наставник+».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11.4. Создание на школьном сайте специальной рубрики «Наши наставники»; методической копилки с программами наставничества; доска почета «Лучшие наставники».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>11.5. Награждение школьными и городскими грамотами «Лучший наставник»; благодарственные письма родителям наставников из числа обучающихся; благодарственные письма на предприятия и организации наставников. 1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1.6. Предоставление наставникам возможности принимать участие в формировании предложений, касающихся развития школы и города.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lastRenderedPageBreak/>
        <w:t xml:space="preserve">12. Документы, регламентирующие наставничество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12.1. К документам, регламентирующим деятельность наставников, относятся: – настоящее Положение; – приказ Министерства образования и науки Челябинской области о внедрении целевой модели наставничества; – целевая модель наставничества в образовательной организации; – дорожная карта внедрения системы наставничества в образовательной организации;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– приказ о назначении куратора внедрения целевой модели наставничества в образовательной организации;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 – приказ об организации «Школы наставников» с утверждением плана работы и графиков обучения наставников;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– приказ «Об утверждении наставнических пар, групп»; </w:t>
      </w:r>
    </w:p>
    <w:p w:rsid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– приказ «О проведении итогового мероприятия в рамках реализации целевой модели наставничества»; </w:t>
      </w:r>
    </w:p>
    <w:p w:rsidR="00745AEE" w:rsidRPr="005A3106" w:rsidRDefault="005A3106" w:rsidP="005A3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3106">
        <w:rPr>
          <w:rFonts w:ascii="Times New Roman" w:hAnsi="Times New Roman" w:cs="Times New Roman"/>
          <w:sz w:val="28"/>
          <w:szCs w:val="28"/>
        </w:rPr>
        <w:t xml:space="preserve">– протокол заседаний педагогического, методического совета, методических объединений, на которых рассматривались вопросы наставничества. </w:t>
      </w:r>
    </w:p>
    <w:sectPr w:rsidR="00745AEE" w:rsidRPr="005A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6"/>
    <w:rsid w:val="00325176"/>
    <w:rsid w:val="00597F18"/>
    <w:rsid w:val="005A3106"/>
    <w:rsid w:val="00745AEE"/>
    <w:rsid w:val="00D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FA18-7D72-42D6-B00A-232007C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2023-11-15T08:39:00Z</cp:lastPrinted>
  <dcterms:created xsi:type="dcterms:W3CDTF">2023-11-15T10:33:00Z</dcterms:created>
  <dcterms:modified xsi:type="dcterms:W3CDTF">2023-11-15T10:33:00Z</dcterms:modified>
</cp:coreProperties>
</file>